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E4" w:rsidRPr="00677984" w:rsidRDefault="00FE66E4" w:rsidP="00FE66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984">
        <w:rPr>
          <w:rFonts w:ascii="Times New Roman" w:hAnsi="Times New Roman"/>
          <w:sz w:val="24"/>
          <w:szCs w:val="24"/>
        </w:rPr>
        <w:t>Приложение 1</w:t>
      </w:r>
    </w:p>
    <w:p w:rsidR="00FE66E4" w:rsidRDefault="00FE66E4" w:rsidP="0043032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CB0934" w:rsidRPr="00236ED8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РЕГЛАМЕНТ</w:t>
      </w:r>
    </w:p>
    <w:p w:rsidR="00CB0934" w:rsidRPr="00236ED8" w:rsidRDefault="00CB0934" w:rsidP="00CB0934">
      <w:pPr>
        <w:pStyle w:val="1"/>
        <w:spacing w:after="0"/>
        <w:ind w:firstLine="709"/>
        <w:jc w:val="center"/>
        <w:rPr>
          <w:sz w:val="28"/>
          <w:szCs w:val="28"/>
        </w:rPr>
      </w:pPr>
      <w:r w:rsidRPr="00236ED8">
        <w:rPr>
          <w:sz w:val="28"/>
          <w:szCs w:val="28"/>
        </w:rPr>
        <w:t xml:space="preserve"> по дополнительной общеобразовательной программе</w:t>
      </w:r>
    </w:p>
    <w:p w:rsidR="00236ED8" w:rsidRP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профсоюзной деятельности</w:t>
      </w:r>
      <w:r w:rsidRPr="00236ED8">
        <w:rPr>
          <w:b/>
          <w:sz w:val="28"/>
          <w:szCs w:val="28"/>
        </w:rPr>
        <w:t>»</w:t>
      </w:r>
    </w:p>
    <w:tbl>
      <w:tblPr>
        <w:tblW w:w="50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8010"/>
      </w:tblGrid>
      <w:tr w:rsidR="00CB0934" w:rsidRPr="00553438" w:rsidTr="00CB0934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дисциплины/темы</w:t>
            </w:r>
          </w:p>
        </w:tc>
      </w:tr>
      <w:tr w:rsidR="00CB0934" w:rsidRPr="00553438" w:rsidTr="00CB0934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</w:tr>
      <w:tr w:rsidR="00CB0934" w:rsidRPr="00553438" w:rsidTr="00CB0934">
        <w:trPr>
          <w:trHeight w:val="129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EC69BE">
            <w:pPr>
              <w:ind w:left="-14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bCs/>
                <w:sz w:val="28"/>
                <w:szCs w:val="28"/>
              </w:rPr>
              <w:t>10.00-10.05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Открытие обучения</w:t>
            </w:r>
          </w:p>
        </w:tc>
      </w:tr>
      <w:tr w:rsidR="00CB0934" w:rsidRPr="00553438" w:rsidTr="00CB0934">
        <w:trPr>
          <w:cantSplit/>
          <w:trHeight w:val="31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4" w:rsidRPr="00CB0934" w:rsidRDefault="00CB0934" w:rsidP="00EC69BE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10.05-11.30</w:t>
            </w:r>
          </w:p>
          <w:p w:rsidR="00CB0934" w:rsidRPr="00CB0934" w:rsidRDefault="00CB0934" w:rsidP="00EC69BE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i/>
                <w:sz w:val="28"/>
                <w:szCs w:val="28"/>
              </w:rPr>
              <w:t>Тренинг</w:t>
            </w:r>
            <w:r w:rsidRPr="00CB0934">
              <w:rPr>
                <w:rFonts w:ascii="Times New Roman" w:hAnsi="Times New Roman"/>
                <w:sz w:val="28"/>
                <w:szCs w:val="28"/>
              </w:rPr>
              <w:t>. Мотивация профсоюзного членства: модели профсоюзных организаций. Причины создания профсоюзных организаций разных моделей.</w:t>
            </w:r>
          </w:p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Вовлечение работников в профсоюз.</w:t>
            </w:r>
          </w:p>
        </w:tc>
      </w:tr>
      <w:tr w:rsidR="00CB0934" w:rsidRPr="00553438" w:rsidTr="00CB0934">
        <w:trPr>
          <w:cantSplit/>
          <w:trHeight w:val="31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4" w:rsidRPr="00CB0934" w:rsidRDefault="00CB0934" w:rsidP="00EC69BE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Правовые основы деятельности профсоюзов.</w:t>
            </w:r>
          </w:p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Трудовой кодекс РФ. Практика применения. Основные вопросы законодательства о труде.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0934">
              <w:rPr>
                <w:rFonts w:ascii="Times New Roman" w:hAnsi="Times New Roman"/>
                <w:sz w:val="28"/>
                <w:szCs w:val="28"/>
              </w:rPr>
              <w:t xml:space="preserve">Социальное партнерство. Коллективный договор: 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правовая основа социального партнерства;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tabs>
                <w:tab w:val="clear" w:pos="360"/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коллективный договор как средство правового регулирования трудовых отношений на предприятии, в организации;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tabs>
                <w:tab w:val="clear" w:pos="360"/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необходимость коллективного договора (для работников, работодателя, профсоюзов);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стороны коллективного договора и их представители, участие профсоюзов в регулировании трудовых отношений на предприятии;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93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B0934">
              <w:rPr>
                <w:rFonts w:ascii="Times New Roman" w:hAnsi="Times New Roman"/>
                <w:sz w:val="28"/>
                <w:szCs w:val="28"/>
              </w:rPr>
              <w:t xml:space="preserve"> выполнением коллективного договора.</w:t>
            </w:r>
          </w:p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Порядок разрешения трудовых споров. Работа комиссии по трудовым спорам. Судебная практика.</w:t>
            </w:r>
          </w:p>
        </w:tc>
      </w:tr>
      <w:tr w:rsidR="00CB0934" w:rsidRPr="00553438" w:rsidTr="00CB0934">
        <w:trPr>
          <w:trHeight w:val="129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ind w:left="-14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bCs/>
                <w:sz w:val="28"/>
                <w:szCs w:val="28"/>
              </w:rPr>
              <w:t>13.00-14.00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</w:tr>
      <w:tr w:rsidR="00CB0934" w:rsidRPr="00553438" w:rsidTr="00CB0934">
        <w:trPr>
          <w:trHeight w:val="854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4" w:rsidRPr="00CB0934" w:rsidRDefault="00CB0934" w:rsidP="00EC69BE">
            <w:pPr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14.00-15.30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 xml:space="preserve">Профсоюзный </w:t>
            </w:r>
            <w:proofErr w:type="gramStart"/>
            <w:r w:rsidRPr="00CB093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B0934">
              <w:rPr>
                <w:rFonts w:ascii="Times New Roman" w:hAnsi="Times New Roman"/>
                <w:sz w:val="28"/>
                <w:szCs w:val="28"/>
              </w:rPr>
              <w:t xml:space="preserve"> состоянием условий и охраны труда в организации.</w:t>
            </w:r>
          </w:p>
        </w:tc>
      </w:tr>
      <w:tr w:rsidR="00CB0934" w:rsidRPr="00553438" w:rsidTr="00CB0934">
        <w:trPr>
          <w:trHeight w:val="73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4" w:rsidRPr="00CB0934" w:rsidRDefault="00CB0934" w:rsidP="00EC69BE">
            <w:pPr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15.30-17.00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Основы организационной работы профсоюзов: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структура профсоюзов, их задачи и цели,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планирование работы профкома,</w:t>
            </w:r>
          </w:p>
          <w:p w:rsidR="00CB0934" w:rsidRPr="00CB0934" w:rsidRDefault="00CB0934" w:rsidP="00CB093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порядок подготовки и проведения собраний и конференций, заседаний профкома,</w:t>
            </w:r>
          </w:p>
          <w:p w:rsidR="00CB0934" w:rsidRPr="00CB0934" w:rsidRDefault="00CB0934" w:rsidP="00EC69B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учет и членство в профсоюзе.</w:t>
            </w:r>
          </w:p>
        </w:tc>
      </w:tr>
      <w:tr w:rsidR="00CB0934" w:rsidRPr="00553438" w:rsidTr="00CB0934">
        <w:trPr>
          <w:trHeight w:val="481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34" w:rsidRPr="00CB0934" w:rsidRDefault="00CB0934" w:rsidP="00EC69BE">
            <w:pPr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17.00-17.20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Закрытие семинара. Вручение сертификатов.</w:t>
            </w:r>
          </w:p>
        </w:tc>
      </w:tr>
    </w:tbl>
    <w:p w:rsidR="00FE66E4" w:rsidRDefault="00FE66E4" w:rsidP="00677984">
      <w:pPr>
        <w:jc w:val="right"/>
        <w:rPr>
          <w:rFonts w:ascii="Times New Roman" w:hAnsi="Times New Roman"/>
          <w:sz w:val="24"/>
          <w:szCs w:val="24"/>
        </w:rPr>
      </w:pPr>
    </w:p>
    <w:p w:rsidR="00677984" w:rsidRPr="00677984" w:rsidRDefault="00FE66E4" w:rsidP="00236E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77984" w:rsidRPr="00236ED8" w:rsidRDefault="00677984" w:rsidP="00236ED8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РЕГЛАМЕНТ</w:t>
      </w:r>
    </w:p>
    <w:p w:rsidR="00677984" w:rsidRPr="00236ED8" w:rsidRDefault="00677984" w:rsidP="00236ED8">
      <w:pPr>
        <w:pStyle w:val="1"/>
        <w:spacing w:after="0"/>
        <w:ind w:firstLine="709"/>
        <w:jc w:val="center"/>
        <w:rPr>
          <w:sz w:val="28"/>
          <w:szCs w:val="28"/>
        </w:rPr>
      </w:pPr>
      <w:r w:rsidRPr="00236ED8">
        <w:rPr>
          <w:sz w:val="28"/>
          <w:szCs w:val="28"/>
        </w:rPr>
        <w:t xml:space="preserve"> по дополнительной общеобразовательной программе</w:t>
      </w:r>
    </w:p>
    <w:p w:rsidR="00677984" w:rsidRPr="00236ED8" w:rsidRDefault="00677984" w:rsidP="00236ED8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«Профсоюзный пиарщик»</w:t>
      </w:r>
    </w:p>
    <w:p w:rsidR="00677984" w:rsidRPr="00236ED8" w:rsidRDefault="00677984" w:rsidP="00236ED8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677984" w:rsidRPr="00236ED8" w:rsidRDefault="00677984" w:rsidP="00FE66E4">
      <w:pPr>
        <w:pStyle w:val="1"/>
        <w:spacing w:after="0"/>
        <w:ind w:firstLine="709"/>
        <w:jc w:val="both"/>
        <w:rPr>
          <w:sz w:val="28"/>
          <w:szCs w:val="28"/>
        </w:rPr>
      </w:pPr>
    </w:p>
    <w:tbl>
      <w:tblPr>
        <w:tblW w:w="50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8065"/>
      </w:tblGrid>
      <w:tr w:rsidR="00677984" w:rsidRPr="00236ED8" w:rsidTr="00FE66E4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84" w:rsidRPr="00236ED8" w:rsidRDefault="00677984" w:rsidP="00EF2D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84" w:rsidRPr="00236ED8" w:rsidRDefault="00677984" w:rsidP="00EF2D2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дисциплины/темы</w:t>
            </w:r>
          </w:p>
        </w:tc>
      </w:tr>
      <w:tr w:rsidR="00677984" w:rsidRPr="00236ED8" w:rsidTr="00FE66E4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4" w:rsidRPr="00236ED8" w:rsidRDefault="00236ED8" w:rsidP="00236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9.30-</w:t>
            </w:r>
            <w:r w:rsidR="00677984" w:rsidRPr="00236ED8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4" w:rsidRPr="00236ED8" w:rsidRDefault="00677984" w:rsidP="00EF2D20">
            <w:pPr>
              <w:rPr>
                <w:rFonts w:ascii="Times New Roman" w:hAnsi="Times New Roman"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</w:tr>
      <w:tr w:rsidR="00677984" w:rsidRPr="00236ED8" w:rsidTr="00FE66E4">
        <w:trPr>
          <w:trHeight w:val="129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4" w:rsidRPr="00236ED8" w:rsidRDefault="00677984" w:rsidP="00EF2D20">
            <w:pPr>
              <w:ind w:left="-14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bCs/>
                <w:sz w:val="28"/>
                <w:szCs w:val="28"/>
              </w:rPr>
              <w:t>10.00-10.05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84" w:rsidRPr="00236ED8" w:rsidRDefault="00677984" w:rsidP="00EF2D20">
            <w:pPr>
              <w:rPr>
                <w:rFonts w:ascii="Times New Roman" w:hAnsi="Times New Roman"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>Открытие обучения</w:t>
            </w:r>
          </w:p>
        </w:tc>
      </w:tr>
      <w:tr w:rsidR="00677984" w:rsidRPr="00236ED8" w:rsidTr="00FE66E4">
        <w:trPr>
          <w:cantSplit/>
          <w:trHeight w:val="31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4" w:rsidRPr="00236ED8" w:rsidRDefault="00677984" w:rsidP="00EF2D20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sz w:val="28"/>
                <w:szCs w:val="28"/>
              </w:rPr>
              <w:t>10.05-11.30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09" w:rsidRPr="00140A09" w:rsidRDefault="00677984" w:rsidP="00EF2D2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A09">
              <w:rPr>
                <w:rFonts w:ascii="Times New Roman" w:hAnsi="Times New Roman"/>
                <w:b/>
                <w:sz w:val="28"/>
                <w:szCs w:val="28"/>
              </w:rPr>
              <w:t>Технологии прод</w:t>
            </w:r>
            <w:r w:rsidR="00140A09" w:rsidRPr="00140A09">
              <w:rPr>
                <w:rFonts w:ascii="Times New Roman" w:hAnsi="Times New Roman"/>
                <w:b/>
                <w:sz w:val="28"/>
                <w:szCs w:val="28"/>
              </w:rPr>
              <w:t>вижения профсоюзной организации</w:t>
            </w:r>
          </w:p>
          <w:p w:rsidR="00677984" w:rsidRPr="00236ED8" w:rsidRDefault="00677984" w:rsidP="00140A09">
            <w:pPr>
              <w:rPr>
                <w:rFonts w:ascii="Times New Roman" w:hAnsi="Times New Roman"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 xml:space="preserve"> Система   технических приёмов PR-кампаний (информационный повод, пресс-релиз, пост-релиз, PR-интервью, новость, приглашение)</w:t>
            </w:r>
            <w:r w:rsidR="00236E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D6912" w:rsidRPr="00236ED8" w:rsidTr="00FE66E4">
        <w:trPr>
          <w:cantSplit/>
          <w:trHeight w:val="316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12" w:rsidRPr="00236ED8" w:rsidRDefault="007D6912" w:rsidP="00EF2D20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2" w:rsidRPr="00236ED8" w:rsidRDefault="007D6912" w:rsidP="007D69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нформационная работа профсоюзов</w:t>
            </w:r>
          </w:p>
          <w:p w:rsidR="007D6912" w:rsidRPr="007D6912" w:rsidRDefault="007D6912" w:rsidP="00140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6912">
              <w:rPr>
                <w:rFonts w:ascii="Times New Roman" w:hAnsi="Times New Roman"/>
                <w:sz w:val="28"/>
                <w:szCs w:val="28"/>
              </w:rPr>
              <w:t>Онлайн-связь</w:t>
            </w:r>
            <w:proofErr w:type="spellEnd"/>
            <w:r w:rsidRPr="007D6912">
              <w:rPr>
                <w:rFonts w:ascii="Times New Roman" w:hAnsi="Times New Roman"/>
                <w:sz w:val="28"/>
                <w:szCs w:val="28"/>
              </w:rPr>
              <w:t xml:space="preserve"> с секретарем </w:t>
            </w:r>
            <w:r w:rsidR="00140A09">
              <w:rPr>
                <w:rFonts w:ascii="Times New Roman" w:hAnsi="Times New Roman"/>
                <w:sz w:val="28"/>
                <w:szCs w:val="28"/>
              </w:rPr>
              <w:t>ФНПР</w:t>
            </w:r>
            <w:r w:rsidRPr="007D6912">
              <w:rPr>
                <w:rFonts w:ascii="Times New Roman" w:hAnsi="Times New Roman"/>
                <w:sz w:val="28"/>
                <w:szCs w:val="28"/>
              </w:rPr>
              <w:t xml:space="preserve">, главным редактором газеты «Солидарность» </w:t>
            </w:r>
            <w:proofErr w:type="spellStart"/>
            <w:r w:rsidRPr="007D6912">
              <w:rPr>
                <w:rFonts w:ascii="Times New Roman" w:hAnsi="Times New Roman"/>
                <w:sz w:val="28"/>
                <w:szCs w:val="28"/>
              </w:rPr>
              <w:t>Шершуковым</w:t>
            </w:r>
            <w:proofErr w:type="spellEnd"/>
            <w:r w:rsidRPr="007D691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677984" w:rsidRPr="00236ED8" w:rsidTr="00FE66E4">
        <w:trPr>
          <w:trHeight w:val="413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84" w:rsidRPr="00236ED8" w:rsidRDefault="00677984" w:rsidP="00EF2D20">
            <w:pPr>
              <w:ind w:left="-14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bCs/>
                <w:sz w:val="28"/>
                <w:szCs w:val="28"/>
              </w:rPr>
              <w:t>13.00-14.00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84" w:rsidRPr="00236ED8" w:rsidRDefault="00677984" w:rsidP="00EF2D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</w:tr>
      <w:tr w:rsidR="00677984" w:rsidRPr="00236ED8" w:rsidTr="00FE66E4">
        <w:trPr>
          <w:trHeight w:val="73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4" w:rsidRPr="00236ED8" w:rsidRDefault="00FE66E4" w:rsidP="00FE66E4">
            <w:pPr>
              <w:ind w:left="-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</w:t>
            </w:r>
            <w:r w:rsidR="00677984" w:rsidRPr="00236ED8">
              <w:rPr>
                <w:rFonts w:ascii="Times New Roman" w:hAnsi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2" w:rsidRPr="00236ED8" w:rsidRDefault="007D6912" w:rsidP="007D69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струменты профсоюзного пиарщика</w:t>
            </w:r>
          </w:p>
          <w:p w:rsidR="00677984" w:rsidRPr="007D6912" w:rsidRDefault="007D6912" w:rsidP="007D691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>Пресс-фотография. PR в сети Интернет (сайты, страницы на сайтах партнёров, социальные сети, email-маркетинг и пр.). Деловое письмо, визитная карточка.</w:t>
            </w:r>
          </w:p>
        </w:tc>
      </w:tr>
      <w:tr w:rsidR="00677984" w:rsidRPr="00236ED8" w:rsidTr="00FE66E4">
        <w:trPr>
          <w:trHeight w:val="738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4" w:rsidRPr="00236ED8" w:rsidRDefault="00677984" w:rsidP="00677984">
            <w:pPr>
              <w:ind w:lef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sz w:val="28"/>
                <w:szCs w:val="28"/>
              </w:rPr>
              <w:t>15.30-16.50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12" w:rsidRDefault="00677984" w:rsidP="007D69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912" w:rsidRPr="00236ED8">
              <w:rPr>
                <w:rFonts w:ascii="Times New Roman" w:hAnsi="Times New Roman"/>
                <w:b/>
                <w:sz w:val="28"/>
                <w:szCs w:val="28"/>
              </w:rPr>
              <w:t>Особенности воздействия и восприятия визуальных образов в ходе  PR-кампаний</w:t>
            </w:r>
          </w:p>
          <w:p w:rsidR="00677984" w:rsidRPr="00236ED8" w:rsidRDefault="007D6912" w:rsidP="007D69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 xml:space="preserve">Технологии психологического влияния визуальной информации: печатная продукция (информационный листок,  листовка, </w:t>
            </w:r>
            <w:proofErr w:type="spellStart"/>
            <w:r w:rsidRPr="00236ED8">
              <w:rPr>
                <w:rFonts w:ascii="Times New Roman" w:hAnsi="Times New Roman"/>
                <w:sz w:val="28"/>
                <w:szCs w:val="28"/>
              </w:rPr>
              <w:t>флаер</w:t>
            </w:r>
            <w:proofErr w:type="spellEnd"/>
            <w:r w:rsidRPr="00236ED8">
              <w:rPr>
                <w:rFonts w:ascii="Times New Roman" w:hAnsi="Times New Roman"/>
                <w:sz w:val="28"/>
                <w:szCs w:val="28"/>
              </w:rPr>
              <w:t xml:space="preserve">, баннер). Подготовка и использование видеоматериала. </w:t>
            </w:r>
            <w:r w:rsidRPr="007D6912">
              <w:rPr>
                <w:rFonts w:ascii="Times New Roman" w:hAnsi="Times New Roman"/>
                <w:sz w:val="28"/>
                <w:szCs w:val="28"/>
              </w:rPr>
              <w:t>Презентация как жанр. Технические</w:t>
            </w:r>
            <w:r w:rsidRPr="00236ED8">
              <w:rPr>
                <w:rFonts w:ascii="Times New Roman" w:hAnsi="Times New Roman"/>
                <w:sz w:val="28"/>
                <w:szCs w:val="28"/>
              </w:rPr>
              <w:t xml:space="preserve"> и психологические требования.</w:t>
            </w:r>
          </w:p>
        </w:tc>
      </w:tr>
      <w:tr w:rsidR="00677984" w:rsidRPr="00236ED8" w:rsidTr="00FE66E4">
        <w:trPr>
          <w:trHeight w:val="48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84" w:rsidRPr="00236ED8" w:rsidRDefault="00677984" w:rsidP="00EF2D20">
            <w:pPr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6ED8">
              <w:rPr>
                <w:rFonts w:ascii="Times New Roman" w:hAnsi="Times New Roman"/>
                <w:b/>
                <w:sz w:val="28"/>
                <w:szCs w:val="28"/>
              </w:rPr>
              <w:t>16.50-17.00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84" w:rsidRPr="00236ED8" w:rsidRDefault="00677984" w:rsidP="00EF2D20">
            <w:pPr>
              <w:rPr>
                <w:rFonts w:ascii="Times New Roman" w:hAnsi="Times New Roman"/>
                <w:sz w:val="28"/>
                <w:szCs w:val="28"/>
              </w:rPr>
            </w:pPr>
            <w:r w:rsidRPr="00236ED8">
              <w:rPr>
                <w:rFonts w:ascii="Times New Roman" w:hAnsi="Times New Roman"/>
                <w:sz w:val="28"/>
                <w:szCs w:val="28"/>
              </w:rPr>
              <w:t>Закрытие семинара. Вручение сертификатов.</w:t>
            </w:r>
          </w:p>
        </w:tc>
      </w:tr>
    </w:tbl>
    <w:p w:rsidR="00677984" w:rsidRPr="00430321" w:rsidRDefault="00677984" w:rsidP="00236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30321" w:rsidRDefault="00430321" w:rsidP="004303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B0934" w:rsidRDefault="00CB0934" w:rsidP="004303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B0934" w:rsidRDefault="00CB0934" w:rsidP="004303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CB0934" w:rsidRDefault="00CB0934" w:rsidP="00653FBA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653FBA" w:rsidRDefault="00CB0934" w:rsidP="00653FBA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CB0934" w:rsidRPr="00236ED8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РЕГЛАМЕНТ</w:t>
      </w:r>
    </w:p>
    <w:p w:rsidR="00CB0934" w:rsidRPr="00236ED8" w:rsidRDefault="00CB0934" w:rsidP="00CB0934">
      <w:pPr>
        <w:pStyle w:val="1"/>
        <w:spacing w:after="0"/>
        <w:ind w:firstLine="709"/>
        <w:jc w:val="center"/>
        <w:rPr>
          <w:sz w:val="28"/>
          <w:szCs w:val="28"/>
        </w:rPr>
      </w:pPr>
      <w:r w:rsidRPr="00236ED8">
        <w:rPr>
          <w:sz w:val="28"/>
          <w:szCs w:val="28"/>
        </w:rPr>
        <w:t xml:space="preserve"> по дополнительной общеобразовательной программе</w:t>
      </w:r>
    </w:p>
    <w:p w:rsid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 xml:space="preserve">«Профсоюзный </w:t>
      </w:r>
      <w:r>
        <w:rPr>
          <w:b/>
          <w:sz w:val="28"/>
          <w:szCs w:val="28"/>
        </w:rPr>
        <w:t>лицей</w:t>
      </w:r>
      <w:r w:rsidRPr="00236ED8">
        <w:rPr>
          <w:b/>
          <w:sz w:val="28"/>
          <w:szCs w:val="28"/>
        </w:rPr>
        <w:t>»</w:t>
      </w:r>
    </w:p>
    <w:p w:rsid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1702"/>
        <w:gridCol w:w="141"/>
        <w:gridCol w:w="4111"/>
        <w:gridCol w:w="3827"/>
      </w:tblGrid>
      <w:tr w:rsidR="00CB0934" w:rsidRPr="00CB0934" w:rsidTr="00CB0934">
        <w:tc>
          <w:tcPr>
            <w:tcW w:w="1843" w:type="dxa"/>
            <w:gridSpan w:val="2"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</w:tr>
      <w:tr w:rsidR="00CB0934" w:rsidRPr="00CB0934" w:rsidTr="00CB0934">
        <w:tc>
          <w:tcPr>
            <w:tcW w:w="9781" w:type="dxa"/>
            <w:gridSpan w:val="4"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1 день (28 сентября 2018 г.)</w:t>
            </w: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13.30-14.00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Институт повышения квалификации профсоюзных кадров</w:t>
            </w: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14.00-14.20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Открытие семинара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 xml:space="preserve">Хусаинов М.Г., 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Председатель ФП РБ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Исаргакова</w:t>
            </w:r>
            <w:proofErr w:type="spellEnd"/>
            <w:r w:rsidRPr="00CB0934">
              <w:rPr>
                <w:rFonts w:ascii="Times New Roman" w:hAnsi="Times New Roman"/>
                <w:b/>
                <w:sz w:val="28"/>
                <w:szCs w:val="28"/>
              </w:rPr>
              <w:t xml:space="preserve"> Л.С.,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ректор ИПК ПК</w:t>
            </w: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14.20-15.30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 xml:space="preserve">Трудовой кодекс РФ. </w:t>
            </w:r>
          </w:p>
          <w:p w:rsidR="00CB0934" w:rsidRPr="00CB0934" w:rsidRDefault="00CB0934" w:rsidP="00EC69B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Практика применения. Основные вопросы законодательства о труде.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bCs/>
                <w:sz w:val="28"/>
                <w:szCs w:val="28"/>
              </w:rPr>
              <w:t>Дашкин Р.Р.,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Cs/>
                <w:sz w:val="28"/>
                <w:szCs w:val="28"/>
              </w:rPr>
              <w:t>правовой инспектор общественной организации «</w:t>
            </w:r>
            <w:proofErr w:type="spellStart"/>
            <w:r w:rsidRPr="00CB0934">
              <w:rPr>
                <w:rFonts w:ascii="Times New Roman" w:hAnsi="Times New Roman"/>
                <w:bCs/>
                <w:sz w:val="28"/>
                <w:szCs w:val="28"/>
              </w:rPr>
              <w:t>Роспрофпром</w:t>
            </w:r>
            <w:proofErr w:type="spellEnd"/>
            <w:r w:rsidRPr="00CB0934">
              <w:rPr>
                <w:rFonts w:ascii="Times New Roman" w:hAnsi="Times New Roman"/>
                <w:bCs/>
                <w:sz w:val="28"/>
                <w:szCs w:val="28"/>
              </w:rPr>
              <w:t xml:space="preserve"> Башкортостана»</w:t>
            </w: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0934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CB0934">
              <w:rPr>
                <w:rFonts w:ascii="Times New Roman" w:hAnsi="Times New Roman"/>
                <w:sz w:val="28"/>
                <w:szCs w:val="28"/>
              </w:rPr>
              <w:t xml:space="preserve"> деятельность. Основы социального проектирования.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ind w:right="13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Казанцев Д.В.,</w:t>
            </w:r>
          </w:p>
          <w:p w:rsidR="00CB0934" w:rsidRPr="00CB0934" w:rsidRDefault="00CB0934" w:rsidP="00EC69BE">
            <w:pPr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 Общественный палаты РБ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Реализация молодежных программ в Республике Башкортостан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Недопекина Е.В.,</w:t>
            </w:r>
          </w:p>
          <w:p w:rsid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директор МБУ «Центр содействия занятости молодежи» ГО г. Уфа РБ</w:t>
            </w:r>
          </w:p>
          <w:p w:rsid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934" w:rsidRPr="00CB0934" w:rsidTr="00CB0934">
        <w:tc>
          <w:tcPr>
            <w:tcW w:w="9781" w:type="dxa"/>
            <w:gridSpan w:val="4"/>
          </w:tcPr>
          <w:p w:rsidR="00CB0934" w:rsidRPr="00CB0934" w:rsidRDefault="00CB0934" w:rsidP="00EC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день (29 сентября 2018 г.)</w:t>
            </w:r>
          </w:p>
        </w:tc>
      </w:tr>
      <w:tr w:rsidR="00CB0934" w:rsidRPr="00CB0934" w:rsidTr="00CB0934">
        <w:trPr>
          <w:trHeight w:val="1048"/>
        </w:trPr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 xml:space="preserve">Слагаемые имиджа профсоюзного лидера. </w:t>
            </w:r>
          </w:p>
          <w:p w:rsidR="00CB0934" w:rsidRPr="00CB0934" w:rsidRDefault="00CB0934" w:rsidP="00EC69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Составляющие имиджа профсоюзного лидера и способы его формирования.</w:t>
            </w:r>
            <w:r w:rsidRPr="00CB093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0934">
              <w:rPr>
                <w:rFonts w:ascii="Times New Roman" w:hAnsi="Times New Roman"/>
                <w:sz w:val="28"/>
                <w:szCs w:val="28"/>
              </w:rPr>
              <w:t>Мотивация профсоюзного членства. Вовлечение работников в профсоюз.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Мирошниченко Г.Ф.,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 xml:space="preserve">Председатель Республиканской организации Башкортостана </w:t>
            </w:r>
            <w:proofErr w:type="spellStart"/>
            <w:r w:rsidRPr="00CB0934">
              <w:rPr>
                <w:rFonts w:ascii="Times New Roman" w:hAnsi="Times New Roman"/>
                <w:sz w:val="28"/>
                <w:szCs w:val="28"/>
              </w:rPr>
              <w:t>Росхимпрофсоюза</w:t>
            </w:r>
            <w:proofErr w:type="spellEnd"/>
          </w:p>
        </w:tc>
      </w:tr>
      <w:tr w:rsidR="00CB0934" w:rsidRPr="00CB0934" w:rsidTr="00CB0934">
        <w:trPr>
          <w:trHeight w:val="1048"/>
        </w:trPr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11.30-13.00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 xml:space="preserve">Профсоюзный </w:t>
            </w:r>
            <w:proofErr w:type="gramStart"/>
            <w:r w:rsidRPr="00CB093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B0934">
              <w:rPr>
                <w:rFonts w:ascii="Times New Roman" w:hAnsi="Times New Roman"/>
                <w:sz w:val="28"/>
                <w:szCs w:val="28"/>
              </w:rPr>
              <w:t xml:space="preserve"> состоянием условий и охраны труда в организации.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Жмаев</w:t>
            </w:r>
            <w:proofErr w:type="spellEnd"/>
            <w:r w:rsidRPr="00CB0934">
              <w:rPr>
                <w:rFonts w:ascii="Times New Roman" w:hAnsi="Times New Roman"/>
                <w:b/>
                <w:sz w:val="28"/>
                <w:szCs w:val="28"/>
              </w:rPr>
              <w:t xml:space="preserve"> А.А.,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заведующий отделом – главный технический инспектор труда ФП РБ</w:t>
            </w: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934" w:rsidRPr="00CB0934" w:rsidTr="00CB0934">
        <w:trPr>
          <w:trHeight w:val="1342"/>
        </w:trPr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14.00-16.50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Менеджмент успеха: навыки достижения эффективности в профессиональной и общественной деятельности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ind w:right="13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4">
              <w:rPr>
                <w:rFonts w:ascii="Times New Roman" w:hAnsi="Times New Roman"/>
                <w:b/>
                <w:bCs/>
                <w:sz w:val="28"/>
                <w:szCs w:val="28"/>
              </w:rPr>
              <w:t>Назарова</w:t>
            </w:r>
            <w:r w:rsidRPr="00CB0934">
              <w:rPr>
                <w:rFonts w:ascii="Times New Roman" w:hAnsi="Times New Roman"/>
                <w:b/>
                <w:sz w:val="28"/>
                <w:szCs w:val="28"/>
              </w:rPr>
              <w:t xml:space="preserve"> У.А.,</w:t>
            </w:r>
          </w:p>
          <w:p w:rsidR="00CB0934" w:rsidRPr="00CB0934" w:rsidRDefault="00CB0934" w:rsidP="00EC69BE">
            <w:pPr>
              <w:ind w:right="13"/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  <w:proofErr w:type="spellStart"/>
            <w:r w:rsidRPr="00CB0934">
              <w:rPr>
                <w:rFonts w:ascii="Times New Roman" w:hAnsi="Times New Roman"/>
                <w:sz w:val="28"/>
                <w:szCs w:val="28"/>
              </w:rPr>
              <w:t>БашГУ</w:t>
            </w:r>
            <w:proofErr w:type="spellEnd"/>
            <w:r w:rsidRPr="00CB0934">
              <w:rPr>
                <w:rFonts w:ascii="Times New Roman" w:hAnsi="Times New Roman"/>
                <w:sz w:val="28"/>
                <w:szCs w:val="28"/>
              </w:rPr>
              <w:t>, доктор экономических наук, доцент</w:t>
            </w:r>
          </w:p>
        </w:tc>
      </w:tr>
      <w:tr w:rsidR="00CB0934" w:rsidRPr="00CB0934" w:rsidTr="00CB0934">
        <w:tc>
          <w:tcPr>
            <w:tcW w:w="1702" w:type="dxa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16.50-17.00</w:t>
            </w:r>
          </w:p>
        </w:tc>
        <w:tc>
          <w:tcPr>
            <w:tcW w:w="4252" w:type="dxa"/>
            <w:gridSpan w:val="2"/>
          </w:tcPr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Закрытие семинара, вручение сертификатов</w:t>
            </w:r>
          </w:p>
        </w:tc>
        <w:tc>
          <w:tcPr>
            <w:tcW w:w="3827" w:type="dxa"/>
          </w:tcPr>
          <w:p w:rsidR="00CB0934" w:rsidRPr="00CB0934" w:rsidRDefault="00CB0934" w:rsidP="00EC69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0934">
              <w:rPr>
                <w:rFonts w:ascii="Times New Roman" w:hAnsi="Times New Roman"/>
                <w:b/>
                <w:sz w:val="28"/>
                <w:szCs w:val="28"/>
              </w:rPr>
              <w:t>Исаргакова</w:t>
            </w:r>
            <w:proofErr w:type="spellEnd"/>
            <w:r w:rsidRPr="00CB0934">
              <w:rPr>
                <w:rFonts w:ascii="Times New Roman" w:hAnsi="Times New Roman"/>
                <w:b/>
                <w:sz w:val="28"/>
                <w:szCs w:val="28"/>
              </w:rPr>
              <w:t xml:space="preserve"> Л.С.,</w:t>
            </w:r>
          </w:p>
          <w:p w:rsidR="00CB0934" w:rsidRPr="00CB0934" w:rsidRDefault="00CB0934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CB0934">
              <w:rPr>
                <w:rFonts w:ascii="Times New Roman" w:hAnsi="Times New Roman"/>
                <w:sz w:val="28"/>
                <w:szCs w:val="28"/>
              </w:rPr>
              <w:t>ректор ИПК ПК</w:t>
            </w:r>
          </w:p>
        </w:tc>
      </w:tr>
    </w:tbl>
    <w:p w:rsidR="00CB0934" w:rsidRP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Pr="00236ED8" w:rsidRDefault="00CB0934" w:rsidP="00CB0934">
      <w:pPr>
        <w:pStyle w:val="1"/>
        <w:spacing w:after="0"/>
        <w:ind w:firstLine="709"/>
        <w:jc w:val="both"/>
        <w:rPr>
          <w:b/>
          <w:sz w:val="28"/>
          <w:szCs w:val="28"/>
        </w:rPr>
      </w:pPr>
    </w:p>
    <w:p w:rsidR="00CB0934" w:rsidRDefault="00CB0934" w:rsidP="00CB0934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CB0934" w:rsidRPr="00236ED8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РЕГЛАМЕНТ</w:t>
      </w:r>
    </w:p>
    <w:p w:rsidR="00CB0934" w:rsidRPr="00236ED8" w:rsidRDefault="00CB0934" w:rsidP="00CB0934">
      <w:pPr>
        <w:pStyle w:val="1"/>
        <w:spacing w:after="0"/>
        <w:ind w:firstLine="709"/>
        <w:jc w:val="center"/>
        <w:rPr>
          <w:sz w:val="28"/>
          <w:szCs w:val="28"/>
        </w:rPr>
      </w:pPr>
      <w:r w:rsidRPr="00236ED8">
        <w:rPr>
          <w:sz w:val="28"/>
          <w:szCs w:val="28"/>
        </w:rPr>
        <w:t xml:space="preserve"> по программе</w:t>
      </w:r>
      <w:r w:rsidR="00201F38">
        <w:rPr>
          <w:sz w:val="28"/>
          <w:szCs w:val="28"/>
        </w:rPr>
        <w:t xml:space="preserve"> повышения квалификации</w:t>
      </w:r>
    </w:p>
    <w:p w:rsid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CB0934">
        <w:rPr>
          <w:b/>
          <w:sz w:val="28"/>
          <w:szCs w:val="28"/>
        </w:rPr>
        <w:t xml:space="preserve">«Договоры и договорная работа в организации: </w:t>
      </w:r>
    </w:p>
    <w:p w:rsid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CB0934">
        <w:rPr>
          <w:b/>
          <w:sz w:val="28"/>
          <w:szCs w:val="28"/>
        </w:rPr>
        <w:t>теория и практика»</w:t>
      </w:r>
    </w:p>
    <w:p w:rsidR="00201F38" w:rsidRDefault="00201F38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CB0934" w:rsidRPr="00CB0934" w:rsidRDefault="00CB0934" w:rsidP="00CB0934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 xml:space="preserve">Лектор – </w:t>
      </w:r>
      <w:proofErr w:type="spellStart"/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Кабашов</w:t>
      </w:r>
      <w:proofErr w:type="spellEnd"/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 xml:space="preserve"> Кирилл Сергеевич, эксперт в области договорного права, практикующий юрист.</w:t>
      </w:r>
    </w:p>
    <w:p w:rsidR="00CB0934" w:rsidRPr="00CB0934" w:rsidRDefault="00CB0934" w:rsidP="00CB0934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</w:p>
    <w:p w:rsidR="00CB0934" w:rsidRPr="00CB0934" w:rsidRDefault="00CB0934" w:rsidP="00CB0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1. Общие положения договорного права</w:t>
      </w:r>
      <w:r w:rsidRPr="00CB0934">
        <w:rPr>
          <w:rFonts w:ascii="Times New Roman" w:eastAsia="Times New Roman" w:hAnsi="Times New Roman"/>
          <w:bCs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Нормы договорного права. Понятие о договоре. Форма договора. Договоры в гражданском праве и иных отраслях права. Виды договоров. Свобода договора. Стороны договора. Воля и волеизъявление в договоре. Условия договора. Существенные условия договора.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2. Практические вопросы заключения договора</w:t>
      </w:r>
      <w:r w:rsidRPr="00CB0934">
        <w:rPr>
          <w:rFonts w:ascii="Times New Roman" w:eastAsia="Times New Roman" w:hAnsi="Times New Roman"/>
          <w:bCs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Понятие заключения договора. Порядок заключения договора. Анализ типичных ошибок, допускаемых при оформлении договора. Практические вопросы подписания договора. Заключение договоров руководителем организации, представителем организации, И.О. Последствия отсутствия и превышения представителем своих полномочий и актуальные вопросы доказывания последующего одобрения сделки. Проверка полномочий представителя при заключении договора. Практические вопросы применения протоколов разногласий. Момент вступления договора в силу. Заключение договора в обязательном порядке. 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 xml:space="preserve">3. Проблемы признания договоров </w:t>
      </w:r>
      <w:proofErr w:type="gramStart"/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>незаключенными</w:t>
      </w:r>
      <w:proofErr w:type="gramEnd"/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 xml:space="preserve"> и недействительными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Существенные условия. Подписание договоров неуполномоченными лицами. Основные отличия от признания договоров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недействительными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. Правовые последствия признания договор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незаключенными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. Момент недействительности договора. Недействительность отдельных положений договора. Правовые последствия признания договора (части договора)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недействительным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. 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4. Исполнение договорных обязательств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Срок исполнения обязательства. Типичные ошибки при оформлении приемки исполнения (накладные, акты приема-передачи, акты приемки работ и др.). Возможность оформления приемки односторонним актом. Условие договора о молчании в ответ на поступивший акт как выражение согласия. Порядок поверки полномочий на приемку товаров, работ или услуг. Последствия исполнения обязательства в адрес неуполномоченного лица.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5. Обеспечение обязательств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Залог (требования к оформлению, идентификация предмета залога, существенные условия, залог в обеспечение будущих обязательств). Поручительство (порядок оформления, срок поручительства, существенные условия). Банковская гарантия и аккредитив.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6. Перемена лиц в обязательстве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lastRenderedPageBreak/>
        <w:t>Уступка права требования (цессия) (оформление цессии, понятие договора, на основании которого осуществляется уступка, ограничения на уступку права и последствия их нарушения, уведомление должника.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 Перевод долга (возможность перевода долга без согласия изначального должника, допустимость согласования права должника на перевод долга без согласия кредитора и др.).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7. Изменение и прекращение договорных обязательств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Изменение условий договора. Дополнительные соглашения к договорам. Типичные ошибки при оформлении дополнительных соглашений к договорам. Актуальные проблемы зачета встречных требований. Расторжение договора. Безусловный односторонний отказ от договора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в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положений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 договора. Расторжение договора по соглашению сторон (рекомендации по составлению соглашений). Прекращение обязательств невозможностью исполнения (форс-мажор). Порядок оформления форс-мажора в договоре.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>8. Актуальные практические вопросы работы с дебиторами на досудебной стадии и организации эффективной претензионной работы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Анализ основных целей и различных моделей претензионной работы. Практические проблемы отправления и получения должником юридически значимых сообщений (включая направление сообщений на электронную почту). Значимость и применимость отправленных сообщений в рамках предстоящих судебных процессов. Методы досудебного урегулирования споров (соглашения об урегулировании споров и их допустимость).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>9. Доказательственная база в рамках судебных процессов по договорам. Рассмотрение споров в судах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Сбор доказательств, их </w:t>
      </w:r>
      <w:proofErr w:type="spell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относимость</w:t>
      </w:r>
      <w:proofErr w:type="spell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 и допустимость. Акты сверок (правовое значение и применимость в качестве доказательств). Вопросы доказывания убытков (реальный ущерб и упущенная выгода). Правила оформления исковых заявлений и необходимые требования для принятия исковых заявлений судом. Подсудность споров. Рассмотрение споров арбитражных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судах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, в том числе в первой, апелляционной и кассационной инстанциях. Сроки исковой давности. Оценка доказательств судом.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 xml:space="preserve">10. </w:t>
      </w:r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 xml:space="preserve">Практика </w:t>
      </w:r>
      <w:proofErr w:type="gramStart"/>
      <w:r w:rsidRPr="00CB0934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применения средств защиты прав кредитора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Неустойка за нарушение договора (виды, правила определения, судебные перспективы взыскания).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Проблемные вопросы взыскания неустойки (практика ее применения, право суда снизить неустойку по собственной инициативе, взыскание неустойки «на будущее» до момента исполнения решения суда в части основного долга.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 Актуальные вопросы начисления и взыскания процентов при нарушении денежных обязательств.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b/>
          <w:color w:val="232323"/>
          <w:sz w:val="28"/>
          <w:szCs w:val="28"/>
        </w:rPr>
        <w:t>11. Споры с налоговыми органами в рамках заключенных договоров</w:t>
      </w: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</w:t>
      </w:r>
    </w:p>
    <w:p w:rsidR="00CB0934" w:rsidRPr="00CB0934" w:rsidRDefault="00CB0934" w:rsidP="00CB0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232323"/>
          <w:sz w:val="28"/>
          <w:szCs w:val="28"/>
        </w:rPr>
      </w:pPr>
      <w:r w:rsidRPr="00CB0934">
        <w:rPr>
          <w:rFonts w:ascii="Times New Roman" w:eastAsia="Times New Roman" w:hAnsi="Times New Roman"/>
          <w:color w:val="232323"/>
          <w:sz w:val="28"/>
          <w:szCs w:val="28"/>
        </w:rPr>
        <w:t xml:space="preserve">Право налоговых органов на защиту публичных интересов путем предъявления в суд исковых заявлений о признании сделок </w:t>
      </w:r>
      <w:proofErr w:type="gramStart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недействительными</w:t>
      </w:r>
      <w:proofErr w:type="gramEnd"/>
      <w:r w:rsidRPr="00CB0934">
        <w:rPr>
          <w:rFonts w:ascii="Times New Roman" w:eastAsia="Times New Roman" w:hAnsi="Times New Roman"/>
          <w:color w:val="232323"/>
          <w:sz w:val="28"/>
          <w:szCs w:val="28"/>
        </w:rPr>
        <w:t>. Обоснованность получения налоговой выгоды и критерии признания арбитражным судом налогоплательщика добросовестным.</w:t>
      </w:r>
    </w:p>
    <w:p w:rsidR="00CB0934" w:rsidRPr="00CB0934" w:rsidRDefault="00CB0934" w:rsidP="00CB0934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1F38">
        <w:rPr>
          <w:rFonts w:ascii="Times New Roman" w:hAnsi="Times New Roman"/>
          <w:sz w:val="24"/>
          <w:szCs w:val="24"/>
        </w:rPr>
        <w:t>5</w:t>
      </w: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201F38" w:rsidRPr="00236ED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36ED8">
        <w:rPr>
          <w:b/>
          <w:sz w:val="28"/>
          <w:szCs w:val="28"/>
        </w:rPr>
        <w:t>РЕГЛАМЕНТ</w:t>
      </w:r>
    </w:p>
    <w:p w:rsidR="00201F38" w:rsidRDefault="00201F38" w:rsidP="00201F38">
      <w:pPr>
        <w:pStyle w:val="1"/>
        <w:spacing w:after="0"/>
        <w:ind w:firstLine="709"/>
        <w:jc w:val="center"/>
        <w:rPr>
          <w:sz w:val="28"/>
          <w:szCs w:val="28"/>
        </w:rPr>
      </w:pPr>
      <w:r w:rsidRPr="00236ED8">
        <w:rPr>
          <w:sz w:val="28"/>
          <w:szCs w:val="28"/>
        </w:rPr>
        <w:t xml:space="preserve"> по дополнительной общеобразовательной программе</w:t>
      </w: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  <w:r w:rsidRPr="00201F38">
        <w:rPr>
          <w:b/>
          <w:sz w:val="28"/>
          <w:szCs w:val="28"/>
        </w:rPr>
        <w:t>«Школа профсоюзного спикера»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586"/>
      </w:tblGrid>
      <w:tr w:rsidR="00201F38" w:rsidRPr="00415763" w:rsidTr="00EC69BE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Pr="00415763" w:rsidRDefault="00201F38" w:rsidP="00EC6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5763"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Pr="00415763" w:rsidRDefault="00201F38" w:rsidP="00EC69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5763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дисциплины/темы</w:t>
            </w:r>
          </w:p>
        </w:tc>
      </w:tr>
      <w:tr w:rsidR="00201F38" w:rsidRPr="00415763" w:rsidTr="00EC69BE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8" w:rsidRPr="00787EAF" w:rsidRDefault="00201F38" w:rsidP="00EC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8" w:rsidRPr="00787EAF" w:rsidRDefault="00201F38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787EAF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</w:tr>
      <w:tr w:rsidR="00201F38" w:rsidRPr="00415763" w:rsidTr="00EC69BE">
        <w:trPr>
          <w:trHeight w:val="12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8" w:rsidRPr="00787EAF" w:rsidRDefault="00201F38" w:rsidP="00EC69BE">
            <w:pPr>
              <w:ind w:left="-14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/>
                <w:bCs/>
                <w:sz w:val="28"/>
                <w:szCs w:val="28"/>
              </w:rPr>
              <w:t>10.00-10.05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38" w:rsidRPr="00787EAF" w:rsidRDefault="00201F38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787EAF">
              <w:rPr>
                <w:rFonts w:ascii="Times New Roman" w:hAnsi="Times New Roman"/>
                <w:sz w:val="28"/>
                <w:szCs w:val="28"/>
              </w:rPr>
              <w:t>Открытие обучения</w:t>
            </w:r>
          </w:p>
        </w:tc>
      </w:tr>
      <w:tr w:rsidR="00201F38" w:rsidRPr="00415763" w:rsidTr="00EC69BE">
        <w:trPr>
          <w:cantSplit/>
          <w:trHeight w:val="31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38" w:rsidRPr="00787EAF" w:rsidRDefault="00201F38" w:rsidP="00EC69BE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/>
                <w:sz w:val="28"/>
                <w:szCs w:val="28"/>
              </w:rPr>
              <w:t>10.05-11.30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Default="00201F38" w:rsidP="00EC69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7E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Базовые техники профсоюзного спикера</w:t>
            </w:r>
          </w:p>
          <w:p w:rsidR="00201F38" w:rsidRPr="00247972" w:rsidRDefault="00201F38" w:rsidP="00EC6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7E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Публичная речь в современном мире. Профсоюзный спикер и его аудитория. Словесное оформление публичного выступления.</w:t>
            </w:r>
            <w:r w:rsidRPr="00787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7E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виды аргументов. </w:t>
            </w:r>
            <w:r w:rsidRPr="00787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слов-паразитов и мусорных звуков. Техники выступления экспромтом. Техники публичного чтения текста.</w:t>
            </w:r>
            <w:r w:rsidRPr="00247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Этика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спикера.</w:t>
            </w:r>
          </w:p>
        </w:tc>
      </w:tr>
      <w:tr w:rsidR="00201F38" w:rsidRPr="00415763" w:rsidTr="00EC69BE">
        <w:trPr>
          <w:cantSplit/>
          <w:trHeight w:val="316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38" w:rsidRPr="00787EAF" w:rsidRDefault="00201F38" w:rsidP="00EC69BE">
            <w:pPr>
              <w:ind w:left="-142" w:right="-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Default="006E48EF" w:rsidP="00EC6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Эффективная работа с аудиторией</w:t>
            </w:r>
            <w:r w:rsidR="00201F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201F38" w:rsidRPr="00247972" w:rsidRDefault="00201F38" w:rsidP="00EC6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7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управления аудиторией. Техника лаконичной речи. Ответы на вопросы. Техники ухода от ответа. Косвенный ответ на вопрос. Альтернатива прямому ответу. Предупреждение возражений. </w:t>
            </w:r>
          </w:p>
        </w:tc>
      </w:tr>
      <w:tr w:rsidR="00201F38" w:rsidRPr="00415763" w:rsidTr="00EC69BE">
        <w:trPr>
          <w:trHeight w:val="129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Pr="00787EAF" w:rsidRDefault="00201F38" w:rsidP="00EC69BE">
            <w:pPr>
              <w:ind w:left="-142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/>
                <w:bCs/>
                <w:sz w:val="28"/>
                <w:szCs w:val="28"/>
              </w:rPr>
              <w:t>13.00-14.00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Pr="00787EAF" w:rsidRDefault="00201F38" w:rsidP="00EC69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</w:tr>
      <w:tr w:rsidR="00201F38" w:rsidRPr="00415763" w:rsidTr="00EC69BE">
        <w:trPr>
          <w:trHeight w:val="738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38" w:rsidRPr="00787EAF" w:rsidRDefault="00201F38" w:rsidP="00EC69BE">
            <w:pPr>
              <w:ind w:left="-5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14.00-16.5</w:t>
            </w:r>
            <w:r w:rsidRPr="00787EA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Default="00201F38" w:rsidP="00EC6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9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Мастерство профсоюзного спикера</w:t>
            </w:r>
            <w:r w:rsidRPr="00247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1F38" w:rsidRPr="00247972" w:rsidRDefault="00201F38" w:rsidP="00EC6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 детального развития темы. Полемика и дебаты. Принципы разрушения логики оппонента.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47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247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антилидером</w:t>
            </w:r>
            <w:proofErr w:type="spellEnd"/>
            <w:r w:rsidRPr="00247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Выступления в неблагоприятных условиях. </w:t>
            </w:r>
          </w:p>
        </w:tc>
      </w:tr>
      <w:tr w:rsidR="00201F38" w:rsidRPr="00415763" w:rsidTr="00EC69BE">
        <w:trPr>
          <w:trHeight w:val="481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38" w:rsidRPr="00787EAF" w:rsidRDefault="00201F38" w:rsidP="00EC69BE">
            <w:pPr>
              <w:ind w:lef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7EAF">
              <w:rPr>
                <w:rFonts w:ascii="Times New Roman" w:hAnsi="Times New Roman"/>
                <w:b/>
                <w:sz w:val="28"/>
                <w:szCs w:val="28"/>
              </w:rPr>
              <w:t>16.50-17.00</w:t>
            </w:r>
          </w:p>
        </w:tc>
        <w:tc>
          <w:tcPr>
            <w:tcW w:w="4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38" w:rsidRPr="00787EAF" w:rsidRDefault="00201F38" w:rsidP="00EC69BE">
            <w:pPr>
              <w:rPr>
                <w:rFonts w:ascii="Times New Roman" w:hAnsi="Times New Roman"/>
                <w:sz w:val="28"/>
                <w:szCs w:val="28"/>
              </w:rPr>
            </w:pPr>
            <w:r w:rsidRPr="00787EAF">
              <w:rPr>
                <w:rFonts w:ascii="Times New Roman" w:hAnsi="Times New Roman"/>
                <w:sz w:val="28"/>
                <w:szCs w:val="28"/>
              </w:rPr>
              <w:t>Закрытие семинара. Вручение сертификатов.</w:t>
            </w:r>
          </w:p>
        </w:tc>
      </w:tr>
    </w:tbl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Pr="00201F38" w:rsidRDefault="00201F38" w:rsidP="00201F38">
      <w:pPr>
        <w:pStyle w:val="1"/>
        <w:spacing w:after="0"/>
        <w:ind w:firstLine="709"/>
        <w:jc w:val="center"/>
        <w:rPr>
          <w:b/>
          <w:sz w:val="28"/>
          <w:szCs w:val="28"/>
        </w:rPr>
      </w:pP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201F38" w:rsidRDefault="00201F38" w:rsidP="00201F38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1F38">
        <w:rPr>
          <w:rFonts w:ascii="Times New Roman" w:hAnsi="Times New Roman"/>
          <w:sz w:val="24"/>
          <w:szCs w:val="24"/>
        </w:rPr>
        <w:t>5</w:t>
      </w:r>
    </w:p>
    <w:p w:rsidR="00CB0934" w:rsidRPr="00153134" w:rsidRDefault="00CB0934" w:rsidP="00653FBA">
      <w:pPr>
        <w:spacing w:after="0" w:line="240" w:lineRule="atLeast"/>
        <w:ind w:left="5670"/>
        <w:jc w:val="right"/>
        <w:rPr>
          <w:rFonts w:ascii="Times New Roman" w:hAnsi="Times New Roman"/>
          <w:sz w:val="24"/>
          <w:szCs w:val="24"/>
        </w:rPr>
      </w:pPr>
    </w:p>
    <w:p w:rsidR="00653FBA" w:rsidRPr="00EE20CC" w:rsidRDefault="00653FBA" w:rsidP="00653FBA">
      <w:pPr>
        <w:spacing w:line="240" w:lineRule="atLeast"/>
        <w:rPr>
          <w:rFonts w:ascii="Times New Roman" w:hAnsi="Times New Roman"/>
          <w:i/>
          <w:sz w:val="24"/>
          <w:szCs w:val="24"/>
        </w:rPr>
      </w:pPr>
      <w:r w:rsidRPr="00EE20CC">
        <w:rPr>
          <w:rFonts w:ascii="Times New Roman" w:hAnsi="Times New Roman"/>
          <w:i/>
          <w:sz w:val="24"/>
          <w:szCs w:val="24"/>
        </w:rPr>
        <w:t>На бланке организации</w:t>
      </w:r>
    </w:p>
    <w:p w:rsidR="00653FBA" w:rsidRPr="00153134" w:rsidRDefault="00653FBA" w:rsidP="00653FBA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Ректору ЧОУ ДПО «ИПК ПК»</w:t>
      </w:r>
    </w:p>
    <w:p w:rsidR="00653FBA" w:rsidRPr="00153134" w:rsidRDefault="00653FBA" w:rsidP="00653FBA">
      <w:pPr>
        <w:spacing w:after="0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Исаргаковой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Л.С.</w:t>
      </w:r>
    </w:p>
    <w:p w:rsidR="00653FBA" w:rsidRPr="00153134" w:rsidRDefault="00653FBA" w:rsidP="00653FBA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ЗАЯВКА</w:t>
      </w:r>
    </w:p>
    <w:p w:rsidR="00653FBA" w:rsidRPr="00153134" w:rsidRDefault="00653FBA" w:rsidP="00653F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НА ПРОФСОЮЗНОЕ ОБУЧЕНИЕ</w:t>
      </w:r>
    </w:p>
    <w:p w:rsidR="00653FBA" w:rsidRPr="007E0063" w:rsidRDefault="00653FBA" w:rsidP="00653FB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по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063">
        <w:rPr>
          <w:rFonts w:ascii="Times New Roman" w:hAnsi="Times New Roman"/>
          <w:sz w:val="28"/>
          <w:szCs w:val="28"/>
        </w:rPr>
        <w:t>«</w:t>
      </w:r>
      <w:r w:rsidR="00677984">
        <w:rPr>
          <w:rFonts w:ascii="Times New Roman" w:hAnsi="Times New Roman"/>
          <w:sz w:val="28"/>
          <w:szCs w:val="28"/>
        </w:rPr>
        <w:t>Профсоюзный пиарщик</w:t>
      </w:r>
      <w:r w:rsidRPr="007E0063">
        <w:rPr>
          <w:rFonts w:ascii="Times New Roman" w:hAnsi="Times New Roman"/>
          <w:sz w:val="28"/>
          <w:szCs w:val="28"/>
        </w:rPr>
        <w:t>»</w:t>
      </w:r>
    </w:p>
    <w:p w:rsidR="00653FBA" w:rsidRPr="00153134" w:rsidRDefault="00653FBA" w:rsidP="00653FBA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69"/>
      </w:tblGrid>
      <w:tr w:rsidR="00653FBA" w:rsidRPr="00153134" w:rsidTr="005E3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BA" w:rsidRPr="00153134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13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3FBA" w:rsidRPr="00153134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31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313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31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BA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13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653FBA" w:rsidRPr="00153134" w:rsidRDefault="00653FBA" w:rsidP="005E32B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BA" w:rsidRPr="00153134" w:rsidRDefault="00653FBA" w:rsidP="00653FB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организации, должность</w:t>
            </w:r>
          </w:p>
        </w:tc>
      </w:tr>
      <w:tr w:rsidR="00653FBA" w:rsidRPr="00153134" w:rsidTr="005E3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BA" w:rsidRPr="00153134" w:rsidRDefault="00653FBA" w:rsidP="00653FBA">
            <w:pPr>
              <w:pStyle w:val="a6"/>
              <w:numPr>
                <w:ilvl w:val="0"/>
                <w:numId w:val="4"/>
              </w:numPr>
              <w:spacing w:line="240" w:lineRule="atLeast"/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FBA" w:rsidRPr="00153134" w:rsidTr="005E3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BA" w:rsidRPr="00153134" w:rsidRDefault="00653FBA" w:rsidP="00653FBA">
            <w:pPr>
              <w:pStyle w:val="a6"/>
              <w:numPr>
                <w:ilvl w:val="0"/>
                <w:numId w:val="4"/>
              </w:numPr>
              <w:spacing w:line="240" w:lineRule="atLeast"/>
              <w:ind w:left="4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FBA" w:rsidRPr="00153134" w:rsidRDefault="00653FBA" w:rsidP="005E32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53FBA" w:rsidRPr="00153134" w:rsidRDefault="00653FBA" w:rsidP="00653FBA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3134">
        <w:rPr>
          <w:rFonts w:ascii="Times New Roman" w:hAnsi="Times New Roman"/>
          <w:sz w:val="28"/>
          <w:szCs w:val="28"/>
        </w:rPr>
        <w:t>Председатель</w:t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</w:r>
      <w:r w:rsidRPr="00153134">
        <w:rPr>
          <w:rFonts w:ascii="Times New Roman" w:hAnsi="Times New Roman"/>
          <w:sz w:val="28"/>
          <w:szCs w:val="28"/>
        </w:rPr>
        <w:tab/>
        <w:t>________________________</w:t>
      </w:r>
    </w:p>
    <w:p w:rsidR="00653FBA" w:rsidRPr="00153134" w:rsidRDefault="00653FBA" w:rsidP="00653FBA">
      <w:pPr>
        <w:autoSpaceDE w:val="0"/>
        <w:autoSpaceDN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М.П.</w:t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</w:r>
      <w:r w:rsidRPr="00153134">
        <w:rPr>
          <w:rFonts w:ascii="Times New Roman" w:hAnsi="Times New Roman"/>
          <w:sz w:val="16"/>
          <w:szCs w:val="16"/>
        </w:rPr>
        <w:tab/>
        <w:t>(Ф.И.О.)</w:t>
      </w:r>
    </w:p>
    <w:p w:rsidR="00653FBA" w:rsidRPr="007B62A0" w:rsidRDefault="00653FBA" w:rsidP="00653FBA">
      <w:pPr>
        <w:spacing w:after="0"/>
        <w:rPr>
          <w:szCs w:val="28"/>
        </w:rPr>
      </w:pPr>
    </w:p>
    <w:p w:rsidR="00653FBA" w:rsidRPr="003F619F" w:rsidRDefault="00653FBA" w:rsidP="00653F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FBA" w:rsidRDefault="00653FBA" w:rsidP="004303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sectPr w:rsidR="00653FBA" w:rsidSect="00E1176A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BA"/>
    <w:multiLevelType w:val="hybridMultilevel"/>
    <w:tmpl w:val="37F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87BA0"/>
    <w:multiLevelType w:val="hybridMultilevel"/>
    <w:tmpl w:val="2CB0A9CE"/>
    <w:lvl w:ilvl="0" w:tplc="FD289B7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D27A2"/>
    <w:multiLevelType w:val="hybridMultilevel"/>
    <w:tmpl w:val="71F41BEA"/>
    <w:lvl w:ilvl="0" w:tplc="F04E7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6340C"/>
    <w:multiLevelType w:val="hybridMultilevel"/>
    <w:tmpl w:val="E6D64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41F"/>
    <w:multiLevelType w:val="hybridMultilevel"/>
    <w:tmpl w:val="31A4F0C8"/>
    <w:lvl w:ilvl="0" w:tplc="F04E7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04AA"/>
    <w:multiLevelType w:val="hybridMultilevel"/>
    <w:tmpl w:val="1772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01"/>
    <w:rsid w:val="00034563"/>
    <w:rsid w:val="000456C4"/>
    <w:rsid w:val="00057E72"/>
    <w:rsid w:val="000763A7"/>
    <w:rsid w:val="000F2D73"/>
    <w:rsid w:val="000F6186"/>
    <w:rsid w:val="00123D22"/>
    <w:rsid w:val="00126D68"/>
    <w:rsid w:val="00133260"/>
    <w:rsid w:val="00140A09"/>
    <w:rsid w:val="00155519"/>
    <w:rsid w:val="00190F49"/>
    <w:rsid w:val="001E52F9"/>
    <w:rsid w:val="00201F38"/>
    <w:rsid w:val="00236ED8"/>
    <w:rsid w:val="00283816"/>
    <w:rsid w:val="002B0002"/>
    <w:rsid w:val="002C2254"/>
    <w:rsid w:val="002C291D"/>
    <w:rsid w:val="002C3730"/>
    <w:rsid w:val="002D38A0"/>
    <w:rsid w:val="003A7CBF"/>
    <w:rsid w:val="003E4299"/>
    <w:rsid w:val="0041375C"/>
    <w:rsid w:val="00430321"/>
    <w:rsid w:val="00492181"/>
    <w:rsid w:val="00492C47"/>
    <w:rsid w:val="004E4518"/>
    <w:rsid w:val="005369BE"/>
    <w:rsid w:val="0055507B"/>
    <w:rsid w:val="00565DC1"/>
    <w:rsid w:val="00585DDF"/>
    <w:rsid w:val="005B37AD"/>
    <w:rsid w:val="005C5C96"/>
    <w:rsid w:val="005C6AEA"/>
    <w:rsid w:val="005D51F4"/>
    <w:rsid w:val="005D6E3F"/>
    <w:rsid w:val="005F2A3F"/>
    <w:rsid w:val="00612611"/>
    <w:rsid w:val="00644576"/>
    <w:rsid w:val="00646FD2"/>
    <w:rsid w:val="006533C0"/>
    <w:rsid w:val="00653FBA"/>
    <w:rsid w:val="00670330"/>
    <w:rsid w:val="00674E71"/>
    <w:rsid w:val="00677984"/>
    <w:rsid w:val="006D72FC"/>
    <w:rsid w:val="006E48EF"/>
    <w:rsid w:val="006F0914"/>
    <w:rsid w:val="006F4B50"/>
    <w:rsid w:val="006F70F0"/>
    <w:rsid w:val="006F7914"/>
    <w:rsid w:val="007020D4"/>
    <w:rsid w:val="007038DC"/>
    <w:rsid w:val="00740D91"/>
    <w:rsid w:val="00746AC0"/>
    <w:rsid w:val="007D27A3"/>
    <w:rsid w:val="007D6912"/>
    <w:rsid w:val="007E0063"/>
    <w:rsid w:val="007E0FBF"/>
    <w:rsid w:val="007F0168"/>
    <w:rsid w:val="0080382E"/>
    <w:rsid w:val="008059FA"/>
    <w:rsid w:val="00834339"/>
    <w:rsid w:val="00834808"/>
    <w:rsid w:val="00844119"/>
    <w:rsid w:val="008751B7"/>
    <w:rsid w:val="008B7D96"/>
    <w:rsid w:val="00905469"/>
    <w:rsid w:val="00937095"/>
    <w:rsid w:val="0093786C"/>
    <w:rsid w:val="00954F01"/>
    <w:rsid w:val="00955F11"/>
    <w:rsid w:val="009A43BA"/>
    <w:rsid w:val="009D2CF6"/>
    <w:rsid w:val="00AA110B"/>
    <w:rsid w:val="00AB5224"/>
    <w:rsid w:val="00B04136"/>
    <w:rsid w:val="00B15450"/>
    <w:rsid w:val="00B44C09"/>
    <w:rsid w:val="00B6387D"/>
    <w:rsid w:val="00B87401"/>
    <w:rsid w:val="00BE6C1D"/>
    <w:rsid w:val="00C505CF"/>
    <w:rsid w:val="00CB0934"/>
    <w:rsid w:val="00CB41C3"/>
    <w:rsid w:val="00CC637A"/>
    <w:rsid w:val="00CD123A"/>
    <w:rsid w:val="00CD50F3"/>
    <w:rsid w:val="00D14F44"/>
    <w:rsid w:val="00D21140"/>
    <w:rsid w:val="00D71C81"/>
    <w:rsid w:val="00DC6ABD"/>
    <w:rsid w:val="00E1176A"/>
    <w:rsid w:val="00E43D4B"/>
    <w:rsid w:val="00F567AC"/>
    <w:rsid w:val="00F914FD"/>
    <w:rsid w:val="00FE66E4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44576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0763A7"/>
    <w:pPr>
      <w:widowControl w:val="0"/>
      <w:spacing w:before="160" w:line="380" w:lineRule="auto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1">
    <w:name w:val="стиль1"/>
    <w:basedOn w:val="a"/>
    <w:uiPriority w:val="99"/>
    <w:rsid w:val="00E1176A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1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7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A3"/>
    <w:rPr>
      <w:rFonts w:ascii="Tahoma" w:hAnsi="Tahoma" w:cs="Tahoma"/>
      <w:sz w:val="16"/>
      <w:szCs w:val="16"/>
      <w:lang w:eastAsia="en-US"/>
    </w:rPr>
  </w:style>
  <w:style w:type="character" w:customStyle="1" w:styleId="FontStyle18">
    <w:name w:val="Font Style18"/>
    <w:basedOn w:val="a0"/>
    <w:uiPriority w:val="99"/>
    <w:rsid w:val="00653FB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7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44576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0763A7"/>
    <w:pPr>
      <w:widowControl w:val="0"/>
      <w:spacing w:before="160" w:line="380" w:lineRule="auto"/>
      <w:jc w:val="both"/>
    </w:pPr>
    <w:rPr>
      <w:rFonts w:ascii="Times New Roman" w:eastAsia="Times New Roman" w:hAnsi="Times New Roman"/>
      <w:sz w:val="18"/>
      <w:szCs w:val="20"/>
      <w:lang w:val="en-US"/>
    </w:rPr>
  </w:style>
  <w:style w:type="paragraph" w:customStyle="1" w:styleId="1">
    <w:name w:val="стиль1"/>
    <w:basedOn w:val="a"/>
    <w:uiPriority w:val="99"/>
    <w:rsid w:val="00E1176A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E1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17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7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</cp:lastModifiedBy>
  <cp:revision>25</cp:revision>
  <cp:lastPrinted>2018-08-16T09:58:00Z</cp:lastPrinted>
  <dcterms:created xsi:type="dcterms:W3CDTF">2017-05-25T05:58:00Z</dcterms:created>
  <dcterms:modified xsi:type="dcterms:W3CDTF">2018-08-17T03:30:00Z</dcterms:modified>
</cp:coreProperties>
</file>